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CD68A" w14:textId="4130B5E0" w:rsidR="00224F88" w:rsidRPr="009A24BE" w:rsidRDefault="00224F88" w:rsidP="007E7993">
      <w:pPr>
        <w:spacing w:after="0" w:line="240" w:lineRule="auto"/>
        <w:rPr>
          <w:b/>
          <w:bCs/>
        </w:rPr>
      </w:pPr>
      <w:r w:rsidRPr="009A24BE">
        <w:rPr>
          <w:b/>
          <w:bCs/>
          <w:u w:val="single"/>
        </w:rPr>
        <w:t>The Paxinos-Watson Award</w:t>
      </w:r>
      <w:r w:rsidRPr="009A24BE">
        <w:rPr>
          <w:b/>
          <w:bCs/>
        </w:rPr>
        <w:t xml:space="preserve"> will recognise the most significant neuroscience paper published during </w:t>
      </w:r>
      <w:r w:rsidR="006354F3" w:rsidRPr="006354F3">
        <w:rPr>
          <w:b/>
          <w:bCs/>
        </w:rPr>
        <w:t>the previous year</w:t>
      </w:r>
      <w:r w:rsidR="006354F3">
        <w:rPr>
          <w:b/>
          <w:bCs/>
        </w:rPr>
        <w:t>*</w:t>
      </w:r>
      <w:r w:rsidR="006354F3" w:rsidRPr="009A24BE">
        <w:rPr>
          <w:b/>
          <w:bCs/>
        </w:rPr>
        <w:t xml:space="preserve"> </w:t>
      </w:r>
      <w:r w:rsidRPr="009A24BE">
        <w:rPr>
          <w:b/>
          <w:bCs/>
        </w:rPr>
        <w:t>by any Member of the Society.</w:t>
      </w:r>
    </w:p>
    <w:p w14:paraId="307F5ED9" w14:textId="79106FAE" w:rsidR="009A24BE" w:rsidRDefault="009A24BE" w:rsidP="007E799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1B1B1B"/>
          <w:sz w:val="22"/>
          <w:szCs w:val="22"/>
        </w:rPr>
      </w:pPr>
    </w:p>
    <w:p w14:paraId="06995243" w14:textId="77777777" w:rsidR="00B1444E" w:rsidRPr="009A24BE" w:rsidRDefault="00B1444E" w:rsidP="007E799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1B1B1B"/>
          <w:sz w:val="22"/>
          <w:szCs w:val="22"/>
        </w:rPr>
      </w:pPr>
    </w:p>
    <w:p w14:paraId="21668832" w14:textId="15E998E9" w:rsidR="00224F88" w:rsidRDefault="00224F88" w:rsidP="007E799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1B1B1B"/>
          <w:sz w:val="22"/>
          <w:szCs w:val="22"/>
        </w:rPr>
      </w:pPr>
      <w:r w:rsidRPr="009A24BE">
        <w:rPr>
          <w:rFonts w:asciiTheme="minorHAnsi" w:hAnsiTheme="minorHAnsi" w:cstheme="minorHAnsi"/>
          <w:b/>
          <w:bCs/>
          <w:color w:val="1B1B1B"/>
          <w:sz w:val="22"/>
          <w:szCs w:val="22"/>
        </w:rPr>
        <w:t>Conditions     </w:t>
      </w:r>
    </w:p>
    <w:p w14:paraId="3D9BE362" w14:textId="77777777" w:rsidR="00B1444E" w:rsidRPr="009A24BE" w:rsidRDefault="00B1444E" w:rsidP="007E799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B1B1B"/>
          <w:sz w:val="22"/>
          <w:szCs w:val="22"/>
        </w:rPr>
      </w:pPr>
    </w:p>
    <w:p w14:paraId="7583A613" w14:textId="77777777" w:rsidR="00224F88" w:rsidRPr="009A24BE" w:rsidRDefault="00224F88" w:rsidP="00B1444E">
      <w:pPr>
        <w:numPr>
          <w:ilvl w:val="0"/>
          <w:numId w:val="8"/>
        </w:numPr>
        <w:shd w:val="clear" w:color="auto" w:fill="FFFFFF"/>
        <w:spacing w:afterLines="140" w:after="336" w:line="240" w:lineRule="auto"/>
        <w:ind w:left="714" w:hanging="357"/>
        <w:rPr>
          <w:rFonts w:cstheme="minorHAnsi"/>
          <w:color w:val="1B1B1B"/>
        </w:rPr>
      </w:pPr>
      <w:r w:rsidRPr="009A24BE">
        <w:rPr>
          <w:rFonts w:cstheme="minorHAnsi"/>
          <w:color w:val="1B1B1B"/>
        </w:rPr>
        <w:t>Any Member of ANS may nominate one of their papers in the field of neuroscience; other authors may be Members or non-Members of the Society.</w:t>
      </w:r>
    </w:p>
    <w:p w14:paraId="568724C8" w14:textId="3CA8A646" w:rsidR="00D3717E" w:rsidRPr="009A24BE" w:rsidRDefault="006354F3" w:rsidP="00B1444E">
      <w:pPr>
        <w:numPr>
          <w:ilvl w:val="0"/>
          <w:numId w:val="8"/>
        </w:numPr>
        <w:shd w:val="clear" w:color="auto" w:fill="FFFFFF"/>
        <w:spacing w:afterLines="140" w:after="336" w:line="240" w:lineRule="auto"/>
        <w:ind w:left="714" w:hanging="357"/>
        <w:rPr>
          <w:rFonts w:cstheme="minorHAnsi"/>
          <w:color w:val="1B1B1B"/>
        </w:rPr>
      </w:pPr>
      <w:r>
        <w:rPr>
          <w:rFonts w:cstheme="minorHAnsi"/>
          <w:color w:val="1B1B1B"/>
        </w:rPr>
        <w:t>*</w:t>
      </w:r>
      <w:r w:rsidR="00D3717E" w:rsidRPr="009A24BE">
        <w:rPr>
          <w:rFonts w:cstheme="minorHAnsi"/>
          <w:color w:val="1B1B1B"/>
        </w:rPr>
        <w:t xml:space="preserve">The application must refer to a peer-reviewed publication with an electronic or hard publication date (whichever is the earliest) </w:t>
      </w:r>
      <w:r w:rsidRPr="00C46299">
        <w:rPr>
          <w:rFonts w:cstheme="minorHAnsi"/>
          <w:color w:val="1B1B1B"/>
        </w:rPr>
        <w:t>in</w:t>
      </w:r>
      <w:r>
        <w:rPr>
          <w:rFonts w:cstheme="minorHAnsi"/>
          <w:color w:val="1B1B1B"/>
        </w:rPr>
        <w:t xml:space="preserve"> the year previous to the current one</w:t>
      </w:r>
      <w:r w:rsidRPr="00692E5C">
        <w:rPr>
          <w:rFonts w:cstheme="minorHAnsi"/>
          <w:color w:val="1B1B1B"/>
        </w:rPr>
        <w:t xml:space="preserve"> </w:t>
      </w:r>
      <w:r w:rsidR="00D3717E" w:rsidRPr="006354F3">
        <w:rPr>
          <w:rFonts w:cstheme="minorHAnsi"/>
          <w:color w:val="1B1B1B"/>
        </w:rPr>
        <w:t>as indicated</w:t>
      </w:r>
      <w:r w:rsidR="00D3717E" w:rsidRPr="009A24BE">
        <w:rPr>
          <w:rFonts w:cstheme="minorHAnsi"/>
          <w:color w:val="1B1B1B"/>
        </w:rPr>
        <w:t xml:space="preserve"> on the published manuscript. This includes “Advance publication” or “Publication ahead of print” dates. </w:t>
      </w:r>
      <w:r w:rsidR="009A24BE" w:rsidRPr="009A24BE">
        <w:rPr>
          <w:rFonts w:cstheme="minorHAnsi"/>
          <w:color w:val="1B1B1B"/>
        </w:rPr>
        <w:t>If there is any uncertainty over the publication date, a paper may only be considered for this award in one year. Dates of submission of manuscripts to pre-print servers are not considered.</w:t>
      </w:r>
    </w:p>
    <w:p w14:paraId="559B1ABD" w14:textId="77777777" w:rsidR="00F209D1" w:rsidRDefault="00224F88" w:rsidP="00F209D1">
      <w:pPr>
        <w:numPr>
          <w:ilvl w:val="0"/>
          <w:numId w:val="8"/>
        </w:numPr>
        <w:shd w:val="clear" w:color="auto" w:fill="FFFFFF"/>
        <w:spacing w:afterLines="140" w:after="336" w:line="240" w:lineRule="auto"/>
        <w:ind w:left="714" w:hanging="357"/>
        <w:rPr>
          <w:rFonts w:cstheme="minorHAnsi"/>
          <w:color w:val="1B1B1B"/>
        </w:rPr>
      </w:pPr>
      <w:r w:rsidRPr="009A24BE">
        <w:rPr>
          <w:rFonts w:cstheme="minorHAnsi"/>
          <w:color w:val="1B1B1B"/>
        </w:rPr>
        <w:t>Each Member may nominate only one paper per year, but may be a co-author on a paper nominated by another Member.</w:t>
      </w:r>
    </w:p>
    <w:p w14:paraId="6463C72A" w14:textId="1BEC1EA9" w:rsidR="00F209D1" w:rsidRDefault="00F209D1" w:rsidP="00F209D1">
      <w:pPr>
        <w:numPr>
          <w:ilvl w:val="0"/>
          <w:numId w:val="8"/>
        </w:numPr>
        <w:shd w:val="clear" w:color="auto" w:fill="FFFFFF"/>
        <w:spacing w:afterLines="140" w:after="336" w:line="240" w:lineRule="auto"/>
        <w:ind w:left="714" w:hanging="357"/>
        <w:rPr>
          <w:rFonts w:cstheme="minorHAnsi"/>
          <w:color w:val="1B1B1B"/>
        </w:rPr>
      </w:pPr>
      <w:r w:rsidRPr="00F209D1">
        <w:rPr>
          <w:rFonts w:cstheme="minorHAnsi"/>
          <w:color w:val="1B1B1B"/>
        </w:rPr>
        <w:t>A publication nominated for the Paxinos-Watson Award</w:t>
      </w:r>
      <w:r w:rsidRPr="008162AD">
        <w:rPr>
          <w:rFonts w:cstheme="minorHAnsi"/>
          <w:color w:val="1B1B1B"/>
        </w:rPr>
        <w:t xml:space="preserve"> </w:t>
      </w:r>
      <w:r w:rsidRPr="00F209D1">
        <w:rPr>
          <w:rFonts w:cstheme="minorHAnsi"/>
          <w:color w:val="1B1B1B"/>
          <w:u w:val="single"/>
        </w:rPr>
        <w:t>cannot</w:t>
      </w:r>
      <w:r w:rsidRPr="00F209D1">
        <w:rPr>
          <w:rFonts w:cstheme="minorHAnsi"/>
          <w:color w:val="1B1B1B"/>
        </w:rPr>
        <w:t xml:space="preserve"> also be nominated for the Marcello Costa Award or the </w:t>
      </w:r>
      <w:r>
        <w:rPr>
          <w:rFonts w:cstheme="minorHAnsi"/>
          <w:color w:val="1B1B1B"/>
        </w:rPr>
        <w:t>Mark Rowe</w:t>
      </w:r>
      <w:r w:rsidRPr="00F209D1">
        <w:rPr>
          <w:rFonts w:cstheme="minorHAnsi"/>
          <w:color w:val="1B1B1B"/>
        </w:rPr>
        <w:t xml:space="preserve"> Award.</w:t>
      </w:r>
    </w:p>
    <w:p w14:paraId="55D60392" w14:textId="10CB5AB7" w:rsidR="00F209D1" w:rsidRPr="00F209D1" w:rsidRDefault="00F209D1" w:rsidP="00F209D1">
      <w:pPr>
        <w:numPr>
          <w:ilvl w:val="0"/>
          <w:numId w:val="8"/>
        </w:numPr>
        <w:shd w:val="clear" w:color="auto" w:fill="FFFFFF"/>
        <w:spacing w:afterLines="140" w:after="336" w:line="240" w:lineRule="auto"/>
        <w:ind w:left="714" w:hanging="357"/>
        <w:rPr>
          <w:rFonts w:cstheme="minorHAnsi"/>
          <w:color w:val="1B1B1B"/>
        </w:rPr>
      </w:pPr>
      <w:r w:rsidRPr="00F209D1">
        <w:rPr>
          <w:rStyle w:val="Strong"/>
          <w:rFonts w:cstheme="minorHAnsi"/>
          <w:b w:val="0"/>
          <w:bCs w:val="0"/>
          <w:color w:val="1B1B1B"/>
        </w:rPr>
        <w:t>Applicants must be Members of ANS at the time of application and at the time the Award is presented.</w:t>
      </w:r>
    </w:p>
    <w:p w14:paraId="676F5D76" w14:textId="77777777" w:rsidR="00224F88" w:rsidRPr="009A24BE" w:rsidRDefault="00224F88" w:rsidP="00B1444E">
      <w:pPr>
        <w:numPr>
          <w:ilvl w:val="0"/>
          <w:numId w:val="8"/>
        </w:numPr>
        <w:shd w:val="clear" w:color="auto" w:fill="FFFFFF"/>
        <w:spacing w:afterLines="140" w:after="336" w:line="240" w:lineRule="auto"/>
        <w:ind w:left="714" w:hanging="357"/>
        <w:rPr>
          <w:rFonts w:cstheme="minorHAnsi"/>
          <w:color w:val="1B1B1B"/>
        </w:rPr>
      </w:pPr>
      <w:r w:rsidRPr="009A24BE">
        <w:rPr>
          <w:rFonts w:cstheme="minorHAnsi"/>
          <w:color w:val="1B1B1B"/>
        </w:rPr>
        <w:t>The research in the paper must have been substantially undertaken within Australia or New Zealand.</w:t>
      </w:r>
    </w:p>
    <w:p w14:paraId="366160D8" w14:textId="77777777" w:rsidR="00224F88" w:rsidRPr="009A24BE" w:rsidRDefault="00224F88" w:rsidP="00B1444E">
      <w:pPr>
        <w:numPr>
          <w:ilvl w:val="0"/>
          <w:numId w:val="8"/>
        </w:numPr>
        <w:shd w:val="clear" w:color="auto" w:fill="FFFFFF"/>
        <w:spacing w:afterLines="140" w:after="336" w:line="240" w:lineRule="auto"/>
        <w:ind w:left="714" w:hanging="357"/>
        <w:rPr>
          <w:rFonts w:cstheme="minorHAnsi"/>
          <w:color w:val="1B1B1B"/>
        </w:rPr>
      </w:pPr>
      <w:r w:rsidRPr="009A24BE">
        <w:rPr>
          <w:rFonts w:cstheme="minorHAnsi"/>
          <w:color w:val="1B1B1B"/>
        </w:rPr>
        <w:t>The judges will rank the nominated papers on the basis of their scientific significance</w:t>
      </w:r>
      <w:r w:rsidR="00D3717E" w:rsidRPr="009A24BE">
        <w:rPr>
          <w:rFonts w:cstheme="minorHAnsi"/>
          <w:color w:val="1B1B1B"/>
        </w:rPr>
        <w:t xml:space="preserve"> </w:t>
      </w:r>
      <w:r w:rsidR="009A24BE" w:rsidRPr="009A24BE">
        <w:rPr>
          <w:rFonts w:cstheme="minorHAnsi"/>
          <w:color w:val="1B1B1B"/>
        </w:rPr>
        <w:t xml:space="preserve">mindful of the </w:t>
      </w:r>
      <w:r w:rsidR="009A24BE" w:rsidRPr="009A24BE">
        <w:rPr>
          <w:bCs/>
        </w:rPr>
        <w:t xml:space="preserve">recommendations of the </w:t>
      </w:r>
      <w:r w:rsidR="009A24BE" w:rsidRPr="009A24BE">
        <w:rPr>
          <w:b/>
          <w:bCs/>
        </w:rPr>
        <w:t>Declaration on Research Assessment (DORA)</w:t>
      </w:r>
      <w:r w:rsidR="009A24BE" w:rsidRPr="009A24BE">
        <w:rPr>
          <w:bCs/>
        </w:rPr>
        <w:t xml:space="preserve"> at </w:t>
      </w:r>
      <w:hyperlink r:id="rId5" w:history="1">
        <w:r w:rsidR="009A24BE" w:rsidRPr="009A24BE">
          <w:rPr>
            <w:rStyle w:val="Hyperlink"/>
            <w:bCs/>
          </w:rPr>
          <w:t>https://sfdora.org/read/</w:t>
        </w:r>
      </w:hyperlink>
    </w:p>
    <w:p w14:paraId="50CD044D" w14:textId="42F5851E" w:rsidR="0047680D" w:rsidRDefault="0047680D" w:rsidP="007E7993">
      <w:pPr>
        <w:pStyle w:val="Heading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B1B1B"/>
          <w:sz w:val="22"/>
          <w:szCs w:val="22"/>
        </w:rPr>
      </w:pPr>
    </w:p>
    <w:p w14:paraId="642AE2E6" w14:textId="206EFE0C" w:rsidR="00224F88" w:rsidRDefault="009A24BE" w:rsidP="007E7993">
      <w:pPr>
        <w:pStyle w:val="Heading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B1B1B"/>
          <w:sz w:val="22"/>
          <w:szCs w:val="22"/>
        </w:rPr>
      </w:pPr>
      <w:r w:rsidRPr="009A24BE">
        <w:rPr>
          <w:rFonts w:asciiTheme="minorHAnsi" w:hAnsiTheme="minorHAnsi" w:cstheme="minorHAnsi"/>
          <w:color w:val="1B1B1B"/>
          <w:sz w:val="22"/>
          <w:szCs w:val="22"/>
        </w:rPr>
        <w:t>Application procedure</w:t>
      </w:r>
    </w:p>
    <w:p w14:paraId="5D14C4DC" w14:textId="77777777" w:rsidR="00B1444E" w:rsidRPr="009A24BE" w:rsidRDefault="00B1444E" w:rsidP="007E7993">
      <w:pPr>
        <w:pStyle w:val="Heading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B1B1B"/>
          <w:sz w:val="22"/>
          <w:szCs w:val="22"/>
        </w:rPr>
      </w:pPr>
    </w:p>
    <w:p w14:paraId="5C4F8518" w14:textId="6CB5CA2D" w:rsidR="00224F88" w:rsidRDefault="00224F88" w:rsidP="00B1444E">
      <w:pPr>
        <w:numPr>
          <w:ilvl w:val="0"/>
          <w:numId w:val="9"/>
        </w:numPr>
        <w:shd w:val="clear" w:color="auto" w:fill="FFFFFF"/>
        <w:spacing w:afterLines="140" w:after="336" w:line="240" w:lineRule="auto"/>
        <w:rPr>
          <w:rFonts w:cstheme="minorHAnsi"/>
          <w:color w:val="1B1B1B"/>
        </w:rPr>
      </w:pPr>
      <w:r w:rsidRPr="009A24BE">
        <w:rPr>
          <w:rFonts w:cstheme="minorHAnsi"/>
          <w:color w:val="1B1B1B"/>
        </w:rPr>
        <w:t>Applicants must be Members of ANS. </w:t>
      </w:r>
    </w:p>
    <w:p w14:paraId="151A23C6" w14:textId="398D9C07" w:rsidR="00A46D82" w:rsidRDefault="00A46D82" w:rsidP="00B1444E">
      <w:pPr>
        <w:numPr>
          <w:ilvl w:val="0"/>
          <w:numId w:val="9"/>
        </w:numPr>
        <w:shd w:val="clear" w:color="auto" w:fill="FFFFFF"/>
        <w:spacing w:afterLines="140" w:after="336" w:line="240" w:lineRule="auto"/>
        <w:rPr>
          <w:rFonts w:cstheme="minorHAnsi"/>
          <w:color w:val="1B1B1B"/>
        </w:rPr>
      </w:pPr>
      <w:r>
        <w:rPr>
          <w:rFonts w:cstheme="minorHAnsi"/>
          <w:color w:val="1B1B1B"/>
        </w:rPr>
        <w:t>The application must consist of:</w:t>
      </w:r>
    </w:p>
    <w:p w14:paraId="08A79190" w14:textId="6110FD4C" w:rsidR="00A46D82" w:rsidRDefault="00A46D82" w:rsidP="00B1444E">
      <w:pPr>
        <w:numPr>
          <w:ilvl w:val="1"/>
          <w:numId w:val="11"/>
        </w:numPr>
        <w:shd w:val="clear" w:color="auto" w:fill="FFFFFF"/>
        <w:spacing w:afterLines="140" w:after="336" w:line="240" w:lineRule="auto"/>
        <w:rPr>
          <w:rFonts w:cstheme="minorHAnsi"/>
          <w:color w:val="1B1B1B"/>
        </w:rPr>
      </w:pPr>
      <w:r>
        <w:rPr>
          <w:rFonts w:cstheme="minorHAnsi"/>
          <w:color w:val="1B1B1B"/>
        </w:rPr>
        <w:t>A PDF copy of the paper</w:t>
      </w:r>
    </w:p>
    <w:p w14:paraId="63D2356F" w14:textId="463F5610" w:rsidR="00A46D82" w:rsidRDefault="00A46D82" w:rsidP="00B1444E">
      <w:pPr>
        <w:numPr>
          <w:ilvl w:val="1"/>
          <w:numId w:val="11"/>
        </w:numPr>
        <w:shd w:val="clear" w:color="auto" w:fill="FFFFFF"/>
        <w:spacing w:afterLines="140" w:after="336" w:line="240" w:lineRule="auto"/>
        <w:rPr>
          <w:rFonts w:cstheme="minorHAnsi"/>
          <w:color w:val="1B1B1B"/>
        </w:rPr>
      </w:pPr>
      <w:r>
        <w:rPr>
          <w:rFonts w:cstheme="minorHAnsi"/>
          <w:color w:val="1B1B1B"/>
        </w:rPr>
        <w:t>A brief explanation of the significance of the paper of maximum 500 words.</w:t>
      </w:r>
    </w:p>
    <w:p w14:paraId="2C8A1EB7" w14:textId="2FEDC8DF" w:rsidR="00B1444E" w:rsidRPr="00F209D1" w:rsidRDefault="00A46D82" w:rsidP="00F209D1">
      <w:pPr>
        <w:numPr>
          <w:ilvl w:val="1"/>
          <w:numId w:val="11"/>
        </w:numPr>
        <w:shd w:val="clear" w:color="auto" w:fill="FFFFFF"/>
        <w:spacing w:afterLines="140" w:after="336" w:line="240" w:lineRule="auto"/>
        <w:rPr>
          <w:rFonts w:cstheme="minorHAnsi"/>
          <w:color w:val="1B1B1B"/>
        </w:rPr>
      </w:pPr>
      <w:r>
        <w:rPr>
          <w:rFonts w:cstheme="minorHAnsi"/>
          <w:color w:val="1B1B1B"/>
        </w:rPr>
        <w:t xml:space="preserve">The application </w:t>
      </w:r>
      <w:r w:rsidR="009B705A" w:rsidRPr="009B705A">
        <w:rPr>
          <w:rFonts w:cstheme="minorHAnsi"/>
          <w:i/>
          <w:color w:val="1B1B1B"/>
        </w:rPr>
        <w:t>may</w:t>
      </w:r>
      <w:r>
        <w:rPr>
          <w:rFonts w:cstheme="minorHAnsi"/>
          <w:color w:val="1B1B1B"/>
        </w:rPr>
        <w:t xml:space="preserve"> be supported by two other members of ANS. Each member can</w:t>
      </w:r>
      <w:r w:rsidR="00A407F2">
        <w:rPr>
          <w:rFonts w:cstheme="minorHAnsi"/>
          <w:color w:val="1B1B1B"/>
        </w:rPr>
        <w:t xml:space="preserve">, if desired, </w:t>
      </w:r>
      <w:r>
        <w:rPr>
          <w:rFonts w:cstheme="minorHAnsi"/>
          <w:color w:val="1B1B1B"/>
        </w:rPr>
        <w:t>provide a brief statement of support of 200 words</w:t>
      </w:r>
      <w:r w:rsidR="00A407F2">
        <w:rPr>
          <w:rFonts w:cstheme="minorHAnsi"/>
          <w:color w:val="1B1B1B"/>
        </w:rPr>
        <w:t xml:space="preserve"> or less</w:t>
      </w:r>
      <w:r>
        <w:rPr>
          <w:rFonts w:cstheme="minorHAnsi"/>
          <w:color w:val="1B1B1B"/>
        </w:rPr>
        <w:t xml:space="preserve">. </w:t>
      </w:r>
    </w:p>
    <w:p w14:paraId="44DBA14A" w14:textId="77777777" w:rsidR="00B1444E" w:rsidRDefault="00B1444E" w:rsidP="00B1444E">
      <w:pPr>
        <w:pStyle w:val="ListParagraph"/>
        <w:spacing w:afterLines="140" w:after="336" w:line="240" w:lineRule="auto"/>
        <w:rPr>
          <w:bCs/>
          <w:i/>
          <w:iCs/>
        </w:rPr>
      </w:pPr>
    </w:p>
    <w:p w14:paraId="4C2C50AC" w14:textId="49C926A0" w:rsidR="009B3E61" w:rsidRPr="006354F3" w:rsidRDefault="00076340" w:rsidP="00B1444E">
      <w:pPr>
        <w:pStyle w:val="ListParagraph"/>
        <w:spacing w:afterLines="140" w:after="336" w:line="240" w:lineRule="auto"/>
        <w:rPr>
          <w:rFonts w:cstheme="minorHAnsi"/>
          <w:color w:val="1B1B1B"/>
        </w:rPr>
      </w:pPr>
      <w:r w:rsidRPr="00AD7810">
        <w:rPr>
          <w:bCs/>
          <w:i/>
          <w:iCs/>
        </w:rPr>
        <w:t>Please note: In accordance with DORA guidelines, do not use journal-based metrics, such as impact factor, as a surrogate measure of the quality of an individual article. The scientific content of the paper is a much more important indicator than the identity or impact factor of the journal in which it was published.</w:t>
      </w:r>
      <w:r w:rsidR="006354F3" w:rsidRPr="006354F3">
        <w:rPr>
          <w:bCs/>
          <w:i/>
          <w:iCs/>
        </w:rPr>
        <w:t xml:space="preserve"> </w:t>
      </w:r>
      <w:r w:rsidR="006354F3">
        <w:rPr>
          <w:bCs/>
          <w:i/>
          <w:iCs/>
        </w:rPr>
        <w:t>The number of citations or downloads of a paper may be more representative of a paper’s importance but will vary with the audience size, i.e. the number of researchers in any particular neuroscience subdiscipline.</w:t>
      </w:r>
    </w:p>
    <w:p w14:paraId="7452E6FB" w14:textId="77777777" w:rsidR="00154416" w:rsidRDefault="00154416" w:rsidP="007E7993">
      <w:pPr>
        <w:spacing w:after="0" w:line="240" w:lineRule="auto"/>
        <w:rPr>
          <w:b/>
          <w:bCs/>
          <w:u w:val="single"/>
        </w:rPr>
      </w:pPr>
    </w:p>
    <w:p w14:paraId="38DF7B5E" w14:textId="7216092F" w:rsidR="00154416" w:rsidRDefault="00154416" w:rsidP="007E7993">
      <w:pPr>
        <w:spacing w:after="0" w:line="240" w:lineRule="auto"/>
        <w:rPr>
          <w:b/>
          <w:bCs/>
        </w:rPr>
      </w:pPr>
      <w:r w:rsidRPr="00154416">
        <w:rPr>
          <w:b/>
          <w:bCs/>
          <w:u w:val="single"/>
        </w:rPr>
        <w:t>Assessment</w:t>
      </w:r>
      <w:r>
        <w:rPr>
          <w:b/>
          <w:bCs/>
        </w:rPr>
        <w:t>:</w:t>
      </w:r>
    </w:p>
    <w:p w14:paraId="59F08D4B" w14:textId="4C10B5FA" w:rsidR="00154416" w:rsidRDefault="00154416" w:rsidP="007E7993">
      <w:pPr>
        <w:spacing w:after="0" w:line="240" w:lineRule="auto"/>
        <w:rPr>
          <w:b/>
          <w:bCs/>
        </w:rPr>
      </w:pPr>
    </w:p>
    <w:p w14:paraId="382216E8" w14:textId="5C8AF4B8" w:rsidR="00930D37" w:rsidRPr="00930D37" w:rsidRDefault="00930D37" w:rsidP="007E7993">
      <w:pPr>
        <w:spacing w:after="0" w:line="240" w:lineRule="auto"/>
        <w:rPr>
          <w:bCs/>
        </w:rPr>
      </w:pPr>
      <w:r w:rsidRPr="00B400C1">
        <w:rPr>
          <w:bCs/>
          <w:u w:val="single"/>
        </w:rPr>
        <w:t>Note</w:t>
      </w:r>
      <w:r w:rsidRPr="00B400C1">
        <w:rPr>
          <w:bCs/>
        </w:rPr>
        <w:t xml:space="preserve">: </w:t>
      </w:r>
      <w:r w:rsidR="00EF5B25" w:rsidRPr="00B400C1">
        <w:rPr>
          <w:bCs/>
        </w:rPr>
        <w:t xml:space="preserve">The winner of the Paxinos-Watson Award is decided by the ANS Council. </w:t>
      </w:r>
      <w:r w:rsidRPr="00B400C1">
        <w:rPr>
          <w:bCs/>
        </w:rPr>
        <w:t xml:space="preserve">The ranking information provided by assessors below will be used by an assessment committee, together with any other relevant information, to </w:t>
      </w:r>
      <w:r w:rsidR="0006214F" w:rsidRPr="00B400C1">
        <w:rPr>
          <w:bCs/>
        </w:rPr>
        <w:t>formulate</w:t>
      </w:r>
      <w:r w:rsidRPr="00B400C1">
        <w:rPr>
          <w:bCs/>
        </w:rPr>
        <w:t xml:space="preserve"> a recommendation to the Council</w:t>
      </w:r>
      <w:r w:rsidR="00EF5B25" w:rsidRPr="00B400C1">
        <w:rPr>
          <w:bCs/>
        </w:rPr>
        <w:t>.</w:t>
      </w:r>
    </w:p>
    <w:p w14:paraId="30F623EA" w14:textId="77777777" w:rsidR="00930D37" w:rsidRDefault="00930D37" w:rsidP="007E7993">
      <w:pPr>
        <w:spacing w:after="0" w:line="240" w:lineRule="auto"/>
        <w:rPr>
          <w:b/>
          <w:bCs/>
        </w:rPr>
      </w:pPr>
    </w:p>
    <w:p w14:paraId="5B1FB21F" w14:textId="10B79DCB" w:rsidR="001F7487" w:rsidRPr="009A24BE" w:rsidRDefault="00924806" w:rsidP="007E7993">
      <w:pPr>
        <w:spacing w:after="0" w:line="240" w:lineRule="auto"/>
        <w:rPr>
          <w:b/>
          <w:bCs/>
        </w:rPr>
      </w:pPr>
      <w:r w:rsidRPr="009A24BE">
        <w:rPr>
          <w:b/>
          <w:bCs/>
        </w:rPr>
        <w:t xml:space="preserve">Please rank the </w:t>
      </w:r>
      <w:r w:rsidR="009A24BE" w:rsidRPr="009A24BE">
        <w:rPr>
          <w:b/>
          <w:bCs/>
        </w:rPr>
        <w:t>papers on the significance of their contribution to neuroscience</w:t>
      </w:r>
      <w:r w:rsidR="009E50D1" w:rsidRPr="009E50D1">
        <w:rPr>
          <w:b/>
          <w:bCs/>
        </w:rPr>
        <w:t xml:space="preserve"> </w:t>
      </w:r>
      <w:r w:rsidR="009E50D1" w:rsidRPr="00692E5C">
        <w:rPr>
          <w:b/>
          <w:bCs/>
        </w:rPr>
        <w:t>by entering numbers</w:t>
      </w:r>
      <w:r w:rsidR="009E50D1">
        <w:rPr>
          <w:b/>
          <w:bCs/>
        </w:rPr>
        <w:t xml:space="preserve"> in the table below</w:t>
      </w:r>
      <w:r w:rsidR="009E50D1" w:rsidRPr="00692E5C">
        <w:rPr>
          <w:b/>
          <w:bCs/>
        </w:rPr>
        <w:t xml:space="preserve"> in the column under your name</w:t>
      </w:r>
      <w:r w:rsidRPr="009A24BE">
        <w:rPr>
          <w:b/>
          <w:bCs/>
        </w:rPr>
        <w:t xml:space="preserve">. Highest rank = 1, lowest rank = </w:t>
      </w:r>
      <w:r w:rsidR="00D3717E" w:rsidRPr="009A24BE">
        <w:rPr>
          <w:b/>
          <w:bCs/>
        </w:rPr>
        <w:t>&lt;Insert No.&gt;</w:t>
      </w:r>
      <w:r w:rsidRPr="009A24BE">
        <w:rPr>
          <w:b/>
          <w:bCs/>
        </w:rPr>
        <w:t xml:space="preserve">. </w:t>
      </w:r>
      <w:r w:rsidR="00D3717E" w:rsidRPr="009A24BE">
        <w:rPr>
          <w:b/>
          <w:bCs/>
        </w:rPr>
        <w:t xml:space="preserve">You must rank </w:t>
      </w:r>
      <w:r w:rsidR="00D3717E" w:rsidRPr="009A24BE">
        <w:rPr>
          <w:b/>
          <w:bCs/>
          <w:u w:val="single"/>
        </w:rPr>
        <w:t>all</w:t>
      </w:r>
      <w:r w:rsidR="00D3717E" w:rsidRPr="009A24BE">
        <w:rPr>
          <w:b/>
          <w:bCs/>
        </w:rPr>
        <w:t xml:space="preserve"> </w:t>
      </w:r>
      <w:r w:rsidR="009A24BE" w:rsidRPr="009A24BE">
        <w:rPr>
          <w:b/>
          <w:bCs/>
        </w:rPr>
        <w:t>the papers</w:t>
      </w:r>
      <w:r w:rsidR="00D3717E" w:rsidRPr="009A24BE">
        <w:rPr>
          <w:b/>
          <w:bCs/>
        </w:rPr>
        <w:t xml:space="preserve">, even if you find some to be ineligible, and you cannot give an identical rank to multiple </w:t>
      </w:r>
      <w:r w:rsidR="009A24BE" w:rsidRPr="009A24BE">
        <w:rPr>
          <w:b/>
          <w:bCs/>
        </w:rPr>
        <w:t>papers</w:t>
      </w:r>
      <w:r w:rsidR="00D3717E" w:rsidRPr="009A24BE">
        <w:rPr>
          <w:b/>
          <w:bCs/>
        </w:rPr>
        <w:t>.</w:t>
      </w:r>
    </w:p>
    <w:p w14:paraId="6A012EB8" w14:textId="77777777" w:rsidR="001F7487" w:rsidRPr="009A24BE" w:rsidRDefault="001F7487" w:rsidP="007E7993">
      <w:pPr>
        <w:spacing w:after="0" w:line="240" w:lineRule="auto"/>
        <w:rPr>
          <w:b/>
          <w:bCs/>
        </w:rPr>
      </w:pPr>
    </w:p>
    <w:p w14:paraId="671D0A16" w14:textId="0074686E" w:rsidR="009B3E61" w:rsidRDefault="009B3E61" w:rsidP="007E7993">
      <w:pPr>
        <w:spacing w:after="0" w:line="240" w:lineRule="auto"/>
        <w:rPr>
          <w:b/>
          <w:bCs/>
        </w:rPr>
      </w:pPr>
    </w:p>
    <w:p w14:paraId="13505F0E" w14:textId="77777777" w:rsidR="009E50D1" w:rsidRPr="00692E5C" w:rsidRDefault="009E50D1" w:rsidP="009E50D1">
      <w:pPr>
        <w:rPr>
          <w:bCs/>
        </w:rPr>
      </w:pPr>
      <w:r w:rsidRPr="00692E5C">
        <w:rPr>
          <w:bCs/>
        </w:rPr>
        <w:t>In your ranking consider:</w:t>
      </w:r>
    </w:p>
    <w:p w14:paraId="0D5B47BC" w14:textId="77777777" w:rsidR="009E50D1" w:rsidRPr="00692E5C" w:rsidRDefault="009E50D1" w:rsidP="009E50D1">
      <w:pPr>
        <w:pStyle w:val="ListParagraph"/>
        <w:numPr>
          <w:ilvl w:val="0"/>
          <w:numId w:val="10"/>
        </w:numPr>
        <w:rPr>
          <w:bCs/>
        </w:rPr>
      </w:pPr>
      <w:bookmarkStart w:id="0" w:name="_Hlk83220640"/>
      <w:r w:rsidRPr="00692E5C">
        <w:rPr>
          <w:bCs/>
        </w:rPr>
        <w:t xml:space="preserve">The </w:t>
      </w:r>
      <w:r>
        <w:rPr>
          <w:bCs/>
        </w:rPr>
        <w:t>recommendations</w:t>
      </w:r>
      <w:r w:rsidRPr="00692E5C">
        <w:rPr>
          <w:bCs/>
        </w:rPr>
        <w:t xml:space="preserve"> of the </w:t>
      </w:r>
      <w:r w:rsidRPr="00692E5C">
        <w:rPr>
          <w:b/>
          <w:bCs/>
        </w:rPr>
        <w:t>Declaration on Research Assessment (DORA)</w:t>
      </w:r>
      <w:r w:rsidRPr="00692E5C">
        <w:rPr>
          <w:bCs/>
        </w:rPr>
        <w:t xml:space="preserve"> available at </w:t>
      </w:r>
      <w:hyperlink r:id="rId6" w:history="1">
        <w:r w:rsidRPr="00692E5C">
          <w:rPr>
            <w:rStyle w:val="Hyperlink"/>
            <w:bCs/>
          </w:rPr>
          <w:t>https://sfdora.org/read/</w:t>
        </w:r>
      </w:hyperlink>
      <w:r w:rsidRPr="00692E5C">
        <w:rPr>
          <w:bCs/>
        </w:rPr>
        <w:t xml:space="preserve"> </w:t>
      </w:r>
      <w:r w:rsidRPr="00692E5C">
        <w:rPr>
          <w:bCs/>
          <w:u w:val="single"/>
        </w:rPr>
        <w:t>In particular</w:t>
      </w:r>
      <w:r w:rsidRPr="00692E5C">
        <w:rPr>
          <w:bCs/>
        </w:rPr>
        <w:t>:</w:t>
      </w:r>
    </w:p>
    <w:p w14:paraId="01DBB681" w14:textId="77777777" w:rsidR="009E50D1" w:rsidRPr="00692E5C" w:rsidRDefault="009E50D1" w:rsidP="009E50D1">
      <w:pPr>
        <w:ind w:left="720"/>
        <w:rPr>
          <w:bCs/>
        </w:rPr>
      </w:pPr>
      <w:r w:rsidRPr="00692E5C">
        <w:rPr>
          <w:bCs/>
        </w:rPr>
        <w:t>“…the need to assess research on its own merits rather than on the basis of the journal in which the research is published; and …</w:t>
      </w:r>
    </w:p>
    <w:p w14:paraId="64F51B5C" w14:textId="77777777" w:rsidR="009E50D1" w:rsidRPr="00692E5C" w:rsidRDefault="009E50D1" w:rsidP="009E50D1">
      <w:pPr>
        <w:ind w:left="720"/>
        <w:rPr>
          <w:bCs/>
        </w:rPr>
      </w:pPr>
      <w:r w:rsidRPr="00692E5C">
        <w:rPr>
          <w:bCs/>
        </w:rPr>
        <w:t>“Do not use journal-based metrics, such as Journal Impact Factors, as a surrogate measure of the quality of individual research articles, to assess an individual scientist’s contributions, or in hiring, promotion, or funding decisions.”</w:t>
      </w:r>
    </w:p>
    <w:bookmarkEnd w:id="0"/>
    <w:p w14:paraId="098824A9" w14:textId="77777777" w:rsidR="009E50D1" w:rsidRPr="009A24BE" w:rsidRDefault="009E50D1" w:rsidP="009E50D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cstheme="minorHAnsi"/>
          <w:color w:val="1B1B1B"/>
        </w:rPr>
      </w:pPr>
      <w:r w:rsidRPr="009A24BE">
        <w:rPr>
          <w:rFonts w:cstheme="minorHAnsi"/>
          <w:color w:val="1B1B1B"/>
        </w:rPr>
        <w:t>The research in the paper must have been substantially undertaken within Australia or New Zealand.</w:t>
      </w:r>
    </w:p>
    <w:p w14:paraId="0CD6F0D9" w14:textId="2CE260BE" w:rsidR="009E50D1" w:rsidRDefault="009E50D1" w:rsidP="007E7993">
      <w:pPr>
        <w:spacing w:after="0" w:line="240" w:lineRule="auto"/>
        <w:rPr>
          <w:b/>
          <w:bCs/>
        </w:rPr>
      </w:pPr>
    </w:p>
    <w:p w14:paraId="03A628F0" w14:textId="77777777" w:rsidR="009E50D1" w:rsidRPr="009A24BE" w:rsidRDefault="009E50D1" w:rsidP="007E7993">
      <w:pPr>
        <w:spacing w:after="0" w:line="240" w:lineRule="auto"/>
        <w:rPr>
          <w:b/>
          <w:bCs/>
        </w:rPr>
      </w:pPr>
    </w:p>
    <w:p w14:paraId="6018D850" w14:textId="77777777" w:rsidR="00C002D5" w:rsidRDefault="008F221A" w:rsidP="007E7993">
      <w:pPr>
        <w:spacing w:after="0" w:line="240" w:lineRule="auto"/>
        <w:rPr>
          <w:rStyle w:val="Hyperlink"/>
          <w:bCs/>
        </w:rPr>
      </w:pPr>
      <w:bookmarkStart w:id="1" w:name="_Hlk83220792"/>
      <w:r w:rsidRPr="009A24BE">
        <w:rPr>
          <w:b/>
          <w:bCs/>
        </w:rPr>
        <w:t>Please sign and date your completed assessment</w:t>
      </w:r>
      <w:r w:rsidRPr="009A24BE">
        <w:rPr>
          <w:bCs/>
        </w:rPr>
        <w:t xml:space="preserve">, scan it as a PDF, and then email the assessment to </w:t>
      </w:r>
      <w:r w:rsidR="00D3717E" w:rsidRPr="009A24BE">
        <w:rPr>
          <w:bCs/>
        </w:rPr>
        <w:t>the ANS Secretary.</w:t>
      </w:r>
    </w:p>
    <w:p w14:paraId="342F6B9A" w14:textId="77777777" w:rsidR="009B3E61" w:rsidRDefault="009B3E61" w:rsidP="007E7993">
      <w:pPr>
        <w:spacing w:after="0" w:line="240" w:lineRule="auto"/>
        <w:rPr>
          <w:bCs/>
        </w:rPr>
      </w:pPr>
    </w:p>
    <w:p w14:paraId="1A3FB410" w14:textId="77777777" w:rsidR="00CD5A8B" w:rsidRDefault="005A3570" w:rsidP="007E7993">
      <w:pPr>
        <w:spacing w:after="0" w:line="240" w:lineRule="auto"/>
        <w:rPr>
          <w:bCs/>
        </w:rPr>
      </w:pPr>
      <w:r>
        <w:rPr>
          <w:bCs/>
        </w:rPr>
        <w:t xml:space="preserve">Please notify </w:t>
      </w:r>
      <w:r w:rsidR="00D3717E">
        <w:rPr>
          <w:bCs/>
        </w:rPr>
        <w:t>the ANS Secretary</w:t>
      </w:r>
      <w:r>
        <w:rPr>
          <w:bCs/>
        </w:rPr>
        <w:t xml:space="preserve"> if you believe a candidate is ineligible</w:t>
      </w:r>
      <w:r w:rsidR="00916E13">
        <w:rPr>
          <w:bCs/>
        </w:rPr>
        <w:t xml:space="preserve"> or you</w:t>
      </w:r>
      <w:r w:rsidR="00B6741A">
        <w:rPr>
          <w:bCs/>
        </w:rPr>
        <w:t xml:space="preserve"> discover</w:t>
      </w:r>
      <w:r w:rsidR="00916E13">
        <w:rPr>
          <w:bCs/>
        </w:rPr>
        <w:t xml:space="preserve"> a conflict of interest</w:t>
      </w:r>
      <w:r>
        <w:rPr>
          <w:bCs/>
        </w:rPr>
        <w:t>.</w:t>
      </w:r>
    </w:p>
    <w:bookmarkEnd w:id="1"/>
    <w:p w14:paraId="18EB775F" w14:textId="77777777" w:rsidR="009B3E61" w:rsidRPr="000A6019" w:rsidRDefault="009B3E61" w:rsidP="007E7993">
      <w:pPr>
        <w:spacing w:after="0" w:line="240" w:lineRule="auto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48"/>
        <w:gridCol w:w="827"/>
        <w:gridCol w:w="827"/>
        <w:gridCol w:w="844"/>
        <w:gridCol w:w="775"/>
        <w:gridCol w:w="838"/>
        <w:gridCol w:w="865"/>
        <w:gridCol w:w="845"/>
        <w:gridCol w:w="934"/>
      </w:tblGrid>
      <w:tr w:rsidR="00CE44F5" w14:paraId="5A51A3B8" w14:textId="77777777" w:rsidTr="00CE44F5">
        <w:tc>
          <w:tcPr>
            <w:tcW w:w="1413" w:type="dxa"/>
          </w:tcPr>
          <w:p w14:paraId="1C4F3BC6" w14:textId="77777777" w:rsidR="0047680D" w:rsidRDefault="0047680D" w:rsidP="007E7993">
            <w:r>
              <w:t xml:space="preserve">Assessor </w:t>
            </w:r>
            <w:r>
              <w:sym w:font="Symbol" w:char="F0AE"/>
            </w:r>
          </w:p>
        </w:tc>
        <w:tc>
          <w:tcPr>
            <w:tcW w:w="848" w:type="dxa"/>
          </w:tcPr>
          <w:p w14:paraId="26B4E09D" w14:textId="77777777" w:rsidR="0047680D" w:rsidRPr="00924806" w:rsidRDefault="0047680D" w:rsidP="007E7993">
            <w:pPr>
              <w:rPr>
                <w:b/>
                <w:sz w:val="16"/>
                <w:szCs w:val="16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0419BE08" w14:textId="77777777" w:rsidR="0047680D" w:rsidRPr="00924806" w:rsidRDefault="0047680D" w:rsidP="007E7993">
            <w:pPr>
              <w:rPr>
                <w:b/>
                <w:sz w:val="16"/>
                <w:szCs w:val="16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6A9BE7F5" w14:textId="77777777" w:rsidR="0047680D" w:rsidRPr="00924806" w:rsidRDefault="0047680D" w:rsidP="007E7993">
            <w:pPr>
              <w:rPr>
                <w:b/>
                <w:sz w:val="16"/>
                <w:szCs w:val="16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7A1EA4E7" w14:textId="77777777" w:rsidR="0047680D" w:rsidRPr="00924806" w:rsidRDefault="0047680D" w:rsidP="007E7993">
            <w:pPr>
              <w:rPr>
                <w:b/>
                <w:sz w:val="16"/>
                <w:szCs w:val="16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14:paraId="04A91846" w14:textId="77777777" w:rsidR="0047680D" w:rsidRPr="00924806" w:rsidRDefault="0047680D" w:rsidP="007E7993">
            <w:pPr>
              <w:rPr>
                <w:b/>
                <w:sz w:val="16"/>
                <w:szCs w:val="16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6614EDB3" w14:textId="77777777" w:rsidR="0047680D" w:rsidRPr="00924806" w:rsidRDefault="0047680D" w:rsidP="007E7993">
            <w:pPr>
              <w:rPr>
                <w:b/>
                <w:sz w:val="16"/>
                <w:szCs w:val="16"/>
              </w:rPr>
            </w:pPr>
          </w:p>
        </w:tc>
        <w:tc>
          <w:tcPr>
            <w:tcW w:w="865" w:type="dxa"/>
          </w:tcPr>
          <w:p w14:paraId="4BEFD5AD" w14:textId="77777777" w:rsidR="0047680D" w:rsidRPr="00924806" w:rsidRDefault="0047680D" w:rsidP="007E7993">
            <w:pPr>
              <w:rPr>
                <w:b/>
                <w:sz w:val="16"/>
                <w:szCs w:val="16"/>
              </w:rPr>
            </w:pPr>
          </w:p>
        </w:tc>
        <w:tc>
          <w:tcPr>
            <w:tcW w:w="845" w:type="dxa"/>
          </w:tcPr>
          <w:p w14:paraId="4AE52C08" w14:textId="77777777" w:rsidR="0047680D" w:rsidRPr="00924806" w:rsidRDefault="0047680D" w:rsidP="007E7993">
            <w:pPr>
              <w:rPr>
                <w:b/>
                <w:sz w:val="28"/>
                <w:szCs w:val="28"/>
              </w:rPr>
            </w:pPr>
          </w:p>
        </w:tc>
        <w:tc>
          <w:tcPr>
            <w:tcW w:w="934" w:type="dxa"/>
            <w:tcBorders>
              <w:bottom w:val="nil"/>
            </w:tcBorders>
          </w:tcPr>
          <w:p w14:paraId="54D7151C" w14:textId="77777777" w:rsidR="0047680D" w:rsidRPr="00924806" w:rsidRDefault="0047680D" w:rsidP="007E7993">
            <w:pPr>
              <w:rPr>
                <w:b/>
                <w:sz w:val="28"/>
                <w:szCs w:val="28"/>
              </w:rPr>
            </w:pPr>
            <w:r w:rsidRPr="00924806">
              <w:rPr>
                <w:b/>
                <w:sz w:val="28"/>
                <w:szCs w:val="28"/>
              </w:rPr>
              <w:t>Totals</w:t>
            </w:r>
          </w:p>
        </w:tc>
      </w:tr>
      <w:tr w:rsidR="00CE44F5" w14:paraId="41FAD909" w14:textId="77777777" w:rsidTr="00CE44F5">
        <w:tc>
          <w:tcPr>
            <w:tcW w:w="1413" w:type="dxa"/>
          </w:tcPr>
          <w:p w14:paraId="0902ADCD" w14:textId="77777777" w:rsidR="0047680D" w:rsidRDefault="0047680D" w:rsidP="007E7993">
            <w:r>
              <w:t>Candidate</w:t>
            </w:r>
          </w:p>
          <w:p w14:paraId="46D250C9" w14:textId="77777777" w:rsidR="0047680D" w:rsidRDefault="0047680D" w:rsidP="007E7993">
            <w:r>
              <w:t xml:space="preserve">        </w:t>
            </w:r>
            <w:r>
              <w:sym w:font="Symbol" w:char="F0AF"/>
            </w:r>
          </w:p>
        </w:tc>
        <w:tc>
          <w:tcPr>
            <w:tcW w:w="848" w:type="dxa"/>
            <w:tcBorders>
              <w:right w:val="nil"/>
            </w:tcBorders>
          </w:tcPr>
          <w:p w14:paraId="0D721B85" w14:textId="77777777" w:rsidR="0047680D" w:rsidRDefault="0047680D" w:rsidP="007E7993"/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967164" w14:textId="77777777" w:rsidR="0047680D" w:rsidRDefault="0047680D" w:rsidP="007E7993"/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88EC62" w14:textId="77777777" w:rsidR="0047680D" w:rsidRDefault="0047680D" w:rsidP="007E7993"/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4A8A" w14:textId="77777777" w:rsidR="0047680D" w:rsidRDefault="0047680D" w:rsidP="007E7993"/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F548EE" w14:textId="77777777" w:rsidR="0047680D" w:rsidRDefault="0047680D" w:rsidP="007E7993"/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BA02A" w14:textId="77777777" w:rsidR="0047680D" w:rsidRDefault="0047680D" w:rsidP="007E7993"/>
        </w:tc>
        <w:tc>
          <w:tcPr>
            <w:tcW w:w="865" w:type="dxa"/>
            <w:tcBorders>
              <w:left w:val="nil"/>
              <w:right w:val="single" w:sz="4" w:space="0" w:color="auto"/>
            </w:tcBorders>
          </w:tcPr>
          <w:p w14:paraId="4B3C4399" w14:textId="77777777" w:rsidR="0047680D" w:rsidRDefault="0047680D" w:rsidP="007E7993"/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14:paraId="61FA2457" w14:textId="77777777" w:rsidR="0047680D" w:rsidRDefault="0047680D" w:rsidP="007E7993"/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FCB0" w14:textId="77777777" w:rsidR="0047680D" w:rsidRDefault="0047680D" w:rsidP="007E7993"/>
        </w:tc>
      </w:tr>
      <w:tr w:rsidR="00CE44F5" w14:paraId="4CE74D93" w14:textId="77777777" w:rsidTr="00CE44F5">
        <w:tc>
          <w:tcPr>
            <w:tcW w:w="1413" w:type="dxa"/>
          </w:tcPr>
          <w:p w14:paraId="4F64F3BA" w14:textId="77777777" w:rsidR="0047680D" w:rsidRPr="00CE44F5" w:rsidRDefault="0047680D" w:rsidP="007E7993">
            <w:pPr>
              <w:ind w:left="306" w:hanging="306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14:paraId="6EE70F05" w14:textId="77777777" w:rsidR="0047680D" w:rsidRDefault="0047680D" w:rsidP="007E7993"/>
        </w:tc>
        <w:tc>
          <w:tcPr>
            <w:tcW w:w="827" w:type="dxa"/>
            <w:tcBorders>
              <w:top w:val="single" w:sz="4" w:space="0" w:color="auto"/>
            </w:tcBorders>
          </w:tcPr>
          <w:p w14:paraId="31381499" w14:textId="77777777" w:rsidR="0047680D" w:rsidRDefault="0047680D" w:rsidP="007E7993"/>
        </w:tc>
        <w:tc>
          <w:tcPr>
            <w:tcW w:w="827" w:type="dxa"/>
            <w:tcBorders>
              <w:top w:val="single" w:sz="4" w:space="0" w:color="auto"/>
            </w:tcBorders>
          </w:tcPr>
          <w:p w14:paraId="4F7B0D12" w14:textId="77777777" w:rsidR="0047680D" w:rsidRDefault="0047680D" w:rsidP="007E7993"/>
        </w:tc>
        <w:tc>
          <w:tcPr>
            <w:tcW w:w="844" w:type="dxa"/>
            <w:tcBorders>
              <w:top w:val="single" w:sz="4" w:space="0" w:color="auto"/>
            </w:tcBorders>
          </w:tcPr>
          <w:p w14:paraId="3EB13D10" w14:textId="77777777" w:rsidR="0047680D" w:rsidRDefault="0047680D" w:rsidP="007E7993"/>
        </w:tc>
        <w:tc>
          <w:tcPr>
            <w:tcW w:w="775" w:type="dxa"/>
            <w:tcBorders>
              <w:top w:val="single" w:sz="4" w:space="0" w:color="auto"/>
            </w:tcBorders>
          </w:tcPr>
          <w:p w14:paraId="30805A44" w14:textId="77777777" w:rsidR="0047680D" w:rsidRDefault="0047680D" w:rsidP="007E7993"/>
        </w:tc>
        <w:tc>
          <w:tcPr>
            <w:tcW w:w="838" w:type="dxa"/>
            <w:tcBorders>
              <w:top w:val="single" w:sz="4" w:space="0" w:color="auto"/>
            </w:tcBorders>
          </w:tcPr>
          <w:p w14:paraId="4713B92C" w14:textId="77777777" w:rsidR="0047680D" w:rsidRDefault="0047680D" w:rsidP="007E7993"/>
        </w:tc>
        <w:tc>
          <w:tcPr>
            <w:tcW w:w="865" w:type="dxa"/>
          </w:tcPr>
          <w:p w14:paraId="5AB397FC" w14:textId="77777777" w:rsidR="0047680D" w:rsidRDefault="0047680D" w:rsidP="007E7993"/>
        </w:tc>
        <w:tc>
          <w:tcPr>
            <w:tcW w:w="845" w:type="dxa"/>
          </w:tcPr>
          <w:p w14:paraId="36DA97EE" w14:textId="77777777" w:rsidR="0047680D" w:rsidRDefault="0047680D" w:rsidP="007E7993"/>
        </w:tc>
        <w:tc>
          <w:tcPr>
            <w:tcW w:w="934" w:type="dxa"/>
            <w:tcBorders>
              <w:top w:val="single" w:sz="4" w:space="0" w:color="auto"/>
            </w:tcBorders>
          </w:tcPr>
          <w:p w14:paraId="7B036930" w14:textId="77777777" w:rsidR="0047680D" w:rsidRDefault="0047680D" w:rsidP="007E7993"/>
        </w:tc>
      </w:tr>
      <w:tr w:rsidR="00CE44F5" w14:paraId="52A347AD" w14:textId="77777777" w:rsidTr="00CE44F5">
        <w:tc>
          <w:tcPr>
            <w:tcW w:w="1413" w:type="dxa"/>
          </w:tcPr>
          <w:p w14:paraId="6097D30C" w14:textId="77777777" w:rsidR="00CE44F5" w:rsidRPr="00CE44F5" w:rsidRDefault="00CE44F5" w:rsidP="00D3717E">
            <w:pPr>
              <w:ind w:left="306" w:hanging="306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14:paraId="3B885A9C" w14:textId="77777777" w:rsidR="0047680D" w:rsidRDefault="0047680D" w:rsidP="007E7993"/>
        </w:tc>
        <w:tc>
          <w:tcPr>
            <w:tcW w:w="827" w:type="dxa"/>
          </w:tcPr>
          <w:p w14:paraId="7908F80C" w14:textId="77777777" w:rsidR="0047680D" w:rsidRDefault="0047680D" w:rsidP="007E7993"/>
        </w:tc>
        <w:tc>
          <w:tcPr>
            <w:tcW w:w="827" w:type="dxa"/>
          </w:tcPr>
          <w:p w14:paraId="6820DB58" w14:textId="77777777" w:rsidR="0047680D" w:rsidRDefault="0047680D" w:rsidP="007E7993"/>
        </w:tc>
        <w:tc>
          <w:tcPr>
            <w:tcW w:w="844" w:type="dxa"/>
          </w:tcPr>
          <w:p w14:paraId="4F8BA9E4" w14:textId="77777777" w:rsidR="0047680D" w:rsidRDefault="0047680D" w:rsidP="007E7993"/>
        </w:tc>
        <w:tc>
          <w:tcPr>
            <w:tcW w:w="775" w:type="dxa"/>
          </w:tcPr>
          <w:p w14:paraId="3C017163" w14:textId="77777777" w:rsidR="0047680D" w:rsidRDefault="0047680D" w:rsidP="007E7993"/>
        </w:tc>
        <w:tc>
          <w:tcPr>
            <w:tcW w:w="838" w:type="dxa"/>
          </w:tcPr>
          <w:p w14:paraId="1E67A97A" w14:textId="77777777" w:rsidR="0047680D" w:rsidRDefault="0047680D" w:rsidP="007E7993"/>
        </w:tc>
        <w:tc>
          <w:tcPr>
            <w:tcW w:w="865" w:type="dxa"/>
          </w:tcPr>
          <w:p w14:paraId="09DD5DE1" w14:textId="77777777" w:rsidR="0047680D" w:rsidRDefault="0047680D" w:rsidP="007E7993"/>
        </w:tc>
        <w:tc>
          <w:tcPr>
            <w:tcW w:w="845" w:type="dxa"/>
          </w:tcPr>
          <w:p w14:paraId="0C6728D4" w14:textId="77777777" w:rsidR="0047680D" w:rsidRDefault="0047680D" w:rsidP="007E7993"/>
        </w:tc>
        <w:tc>
          <w:tcPr>
            <w:tcW w:w="934" w:type="dxa"/>
          </w:tcPr>
          <w:p w14:paraId="6C96074F" w14:textId="77777777" w:rsidR="0047680D" w:rsidRDefault="0047680D" w:rsidP="007E7993"/>
        </w:tc>
      </w:tr>
      <w:tr w:rsidR="00CE44F5" w14:paraId="2B6EAAE7" w14:textId="77777777" w:rsidTr="00D3717E">
        <w:tc>
          <w:tcPr>
            <w:tcW w:w="1413" w:type="dxa"/>
          </w:tcPr>
          <w:p w14:paraId="5D0199ED" w14:textId="77777777" w:rsidR="00CE44F5" w:rsidRPr="00CE44F5" w:rsidRDefault="00CE44F5" w:rsidP="00D3717E">
            <w:pPr>
              <w:ind w:left="306" w:hanging="306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14:paraId="217B1063" w14:textId="77777777" w:rsidR="0047680D" w:rsidRDefault="0047680D" w:rsidP="007E7993"/>
        </w:tc>
        <w:tc>
          <w:tcPr>
            <w:tcW w:w="827" w:type="dxa"/>
          </w:tcPr>
          <w:p w14:paraId="0930600A" w14:textId="77777777" w:rsidR="0047680D" w:rsidRDefault="0047680D" w:rsidP="007E7993"/>
        </w:tc>
        <w:tc>
          <w:tcPr>
            <w:tcW w:w="827" w:type="dxa"/>
          </w:tcPr>
          <w:p w14:paraId="1FE10A58" w14:textId="77777777" w:rsidR="0047680D" w:rsidRDefault="0047680D" w:rsidP="007E7993"/>
        </w:tc>
        <w:tc>
          <w:tcPr>
            <w:tcW w:w="844" w:type="dxa"/>
          </w:tcPr>
          <w:p w14:paraId="175699FA" w14:textId="77777777" w:rsidR="0047680D" w:rsidRDefault="0047680D" w:rsidP="007E7993"/>
        </w:tc>
        <w:tc>
          <w:tcPr>
            <w:tcW w:w="775" w:type="dxa"/>
          </w:tcPr>
          <w:p w14:paraId="705DD4A6" w14:textId="77777777" w:rsidR="0047680D" w:rsidRDefault="0047680D" w:rsidP="007E7993"/>
        </w:tc>
        <w:tc>
          <w:tcPr>
            <w:tcW w:w="838" w:type="dxa"/>
          </w:tcPr>
          <w:p w14:paraId="5AB3D36C" w14:textId="77777777" w:rsidR="0047680D" w:rsidRDefault="0047680D" w:rsidP="007E7993"/>
        </w:tc>
        <w:tc>
          <w:tcPr>
            <w:tcW w:w="865" w:type="dxa"/>
          </w:tcPr>
          <w:p w14:paraId="3FC2BE76" w14:textId="77777777" w:rsidR="0047680D" w:rsidRDefault="0047680D" w:rsidP="007E7993"/>
        </w:tc>
        <w:tc>
          <w:tcPr>
            <w:tcW w:w="845" w:type="dxa"/>
          </w:tcPr>
          <w:p w14:paraId="2D1181BF" w14:textId="77777777" w:rsidR="0047680D" w:rsidRDefault="0047680D" w:rsidP="007E7993"/>
        </w:tc>
        <w:tc>
          <w:tcPr>
            <w:tcW w:w="934" w:type="dxa"/>
          </w:tcPr>
          <w:p w14:paraId="13AB3DCD" w14:textId="77777777" w:rsidR="0047680D" w:rsidRDefault="0047680D" w:rsidP="007E7993"/>
        </w:tc>
      </w:tr>
      <w:tr w:rsidR="00D3717E" w14:paraId="1208DF66" w14:textId="77777777" w:rsidTr="00CE44F5">
        <w:tc>
          <w:tcPr>
            <w:tcW w:w="1413" w:type="dxa"/>
            <w:tcBorders>
              <w:bottom w:val="single" w:sz="4" w:space="0" w:color="auto"/>
            </w:tcBorders>
          </w:tcPr>
          <w:p w14:paraId="4F9F3A0E" w14:textId="77777777" w:rsidR="00D3717E" w:rsidRPr="00CE44F5" w:rsidRDefault="00D3717E" w:rsidP="00D3717E">
            <w:pPr>
              <w:ind w:left="306" w:hanging="306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2A8318A2" w14:textId="77777777" w:rsidR="00D3717E" w:rsidRDefault="00D3717E" w:rsidP="007E7993"/>
        </w:tc>
        <w:tc>
          <w:tcPr>
            <w:tcW w:w="827" w:type="dxa"/>
            <w:tcBorders>
              <w:bottom w:val="single" w:sz="4" w:space="0" w:color="auto"/>
            </w:tcBorders>
          </w:tcPr>
          <w:p w14:paraId="0254C7C3" w14:textId="77777777" w:rsidR="00D3717E" w:rsidRDefault="00D3717E" w:rsidP="007E7993"/>
        </w:tc>
        <w:tc>
          <w:tcPr>
            <w:tcW w:w="827" w:type="dxa"/>
            <w:tcBorders>
              <w:bottom w:val="single" w:sz="4" w:space="0" w:color="auto"/>
            </w:tcBorders>
          </w:tcPr>
          <w:p w14:paraId="09802D34" w14:textId="77777777" w:rsidR="00D3717E" w:rsidRDefault="00D3717E" w:rsidP="007E7993"/>
        </w:tc>
        <w:tc>
          <w:tcPr>
            <w:tcW w:w="844" w:type="dxa"/>
            <w:tcBorders>
              <w:bottom w:val="single" w:sz="4" w:space="0" w:color="auto"/>
            </w:tcBorders>
          </w:tcPr>
          <w:p w14:paraId="1552E190" w14:textId="77777777" w:rsidR="00D3717E" w:rsidRDefault="00D3717E" w:rsidP="007E7993"/>
        </w:tc>
        <w:tc>
          <w:tcPr>
            <w:tcW w:w="775" w:type="dxa"/>
            <w:tcBorders>
              <w:bottom w:val="single" w:sz="4" w:space="0" w:color="auto"/>
            </w:tcBorders>
          </w:tcPr>
          <w:p w14:paraId="27A4083A" w14:textId="77777777" w:rsidR="00D3717E" w:rsidRDefault="00D3717E" w:rsidP="007E7993"/>
        </w:tc>
        <w:tc>
          <w:tcPr>
            <w:tcW w:w="838" w:type="dxa"/>
            <w:tcBorders>
              <w:bottom w:val="single" w:sz="4" w:space="0" w:color="auto"/>
            </w:tcBorders>
          </w:tcPr>
          <w:p w14:paraId="5ADC6921" w14:textId="77777777" w:rsidR="00D3717E" w:rsidRDefault="00D3717E" w:rsidP="007E7993"/>
        </w:tc>
        <w:tc>
          <w:tcPr>
            <w:tcW w:w="865" w:type="dxa"/>
            <w:tcBorders>
              <w:bottom w:val="single" w:sz="4" w:space="0" w:color="auto"/>
            </w:tcBorders>
          </w:tcPr>
          <w:p w14:paraId="54BA0731" w14:textId="77777777" w:rsidR="00D3717E" w:rsidRDefault="00D3717E" w:rsidP="007E7993"/>
        </w:tc>
        <w:tc>
          <w:tcPr>
            <w:tcW w:w="845" w:type="dxa"/>
            <w:tcBorders>
              <w:bottom w:val="single" w:sz="4" w:space="0" w:color="auto"/>
            </w:tcBorders>
          </w:tcPr>
          <w:p w14:paraId="7FB2D00B" w14:textId="77777777" w:rsidR="00D3717E" w:rsidRDefault="00D3717E" w:rsidP="007E7993"/>
        </w:tc>
        <w:tc>
          <w:tcPr>
            <w:tcW w:w="934" w:type="dxa"/>
            <w:tcBorders>
              <w:bottom w:val="single" w:sz="4" w:space="0" w:color="auto"/>
            </w:tcBorders>
          </w:tcPr>
          <w:p w14:paraId="09E42FC2" w14:textId="77777777" w:rsidR="00D3717E" w:rsidRDefault="00D3717E" w:rsidP="007E7993"/>
        </w:tc>
      </w:tr>
      <w:tr w:rsidR="00D3717E" w14:paraId="07EA4203" w14:textId="77777777" w:rsidTr="00CE44F5">
        <w:tc>
          <w:tcPr>
            <w:tcW w:w="1413" w:type="dxa"/>
            <w:tcBorders>
              <w:bottom w:val="single" w:sz="4" w:space="0" w:color="auto"/>
            </w:tcBorders>
          </w:tcPr>
          <w:p w14:paraId="796F0F30" w14:textId="77777777" w:rsidR="00D3717E" w:rsidRPr="00CE44F5" w:rsidRDefault="00D3717E" w:rsidP="00D3717E">
            <w:pPr>
              <w:ind w:left="306" w:hanging="306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34A69B0D" w14:textId="77777777" w:rsidR="00D3717E" w:rsidRDefault="00D3717E" w:rsidP="007E7993"/>
        </w:tc>
        <w:tc>
          <w:tcPr>
            <w:tcW w:w="827" w:type="dxa"/>
            <w:tcBorders>
              <w:bottom w:val="single" w:sz="4" w:space="0" w:color="auto"/>
            </w:tcBorders>
          </w:tcPr>
          <w:p w14:paraId="769709E0" w14:textId="77777777" w:rsidR="00D3717E" w:rsidRDefault="00D3717E" w:rsidP="007E7993"/>
        </w:tc>
        <w:tc>
          <w:tcPr>
            <w:tcW w:w="827" w:type="dxa"/>
            <w:tcBorders>
              <w:bottom w:val="single" w:sz="4" w:space="0" w:color="auto"/>
            </w:tcBorders>
          </w:tcPr>
          <w:p w14:paraId="1B62D382" w14:textId="77777777" w:rsidR="00D3717E" w:rsidRDefault="00D3717E" w:rsidP="007E7993"/>
        </w:tc>
        <w:tc>
          <w:tcPr>
            <w:tcW w:w="844" w:type="dxa"/>
            <w:tcBorders>
              <w:bottom w:val="single" w:sz="4" w:space="0" w:color="auto"/>
            </w:tcBorders>
          </w:tcPr>
          <w:p w14:paraId="3958E2E4" w14:textId="77777777" w:rsidR="00D3717E" w:rsidRDefault="00D3717E" w:rsidP="007E7993"/>
        </w:tc>
        <w:tc>
          <w:tcPr>
            <w:tcW w:w="775" w:type="dxa"/>
            <w:tcBorders>
              <w:bottom w:val="single" w:sz="4" w:space="0" w:color="auto"/>
            </w:tcBorders>
          </w:tcPr>
          <w:p w14:paraId="2205154E" w14:textId="77777777" w:rsidR="00D3717E" w:rsidRDefault="00D3717E" w:rsidP="007E7993"/>
        </w:tc>
        <w:tc>
          <w:tcPr>
            <w:tcW w:w="838" w:type="dxa"/>
            <w:tcBorders>
              <w:bottom w:val="single" w:sz="4" w:space="0" w:color="auto"/>
            </w:tcBorders>
          </w:tcPr>
          <w:p w14:paraId="380F07F6" w14:textId="77777777" w:rsidR="00D3717E" w:rsidRDefault="00D3717E" w:rsidP="007E7993"/>
        </w:tc>
        <w:tc>
          <w:tcPr>
            <w:tcW w:w="865" w:type="dxa"/>
            <w:tcBorders>
              <w:bottom w:val="single" w:sz="4" w:space="0" w:color="auto"/>
            </w:tcBorders>
          </w:tcPr>
          <w:p w14:paraId="33B12BCE" w14:textId="77777777" w:rsidR="00D3717E" w:rsidRDefault="00D3717E" w:rsidP="007E7993"/>
        </w:tc>
        <w:tc>
          <w:tcPr>
            <w:tcW w:w="845" w:type="dxa"/>
            <w:tcBorders>
              <w:bottom w:val="single" w:sz="4" w:space="0" w:color="auto"/>
            </w:tcBorders>
          </w:tcPr>
          <w:p w14:paraId="2EEA4398" w14:textId="77777777" w:rsidR="00D3717E" w:rsidRDefault="00D3717E" w:rsidP="007E7993"/>
        </w:tc>
        <w:tc>
          <w:tcPr>
            <w:tcW w:w="934" w:type="dxa"/>
            <w:tcBorders>
              <w:bottom w:val="single" w:sz="4" w:space="0" w:color="auto"/>
            </w:tcBorders>
          </w:tcPr>
          <w:p w14:paraId="6C2FFC2D" w14:textId="77777777" w:rsidR="00D3717E" w:rsidRDefault="00D3717E" w:rsidP="007E7993"/>
        </w:tc>
      </w:tr>
      <w:tr w:rsidR="00D3717E" w14:paraId="284E11D1" w14:textId="77777777" w:rsidTr="00CE44F5">
        <w:tc>
          <w:tcPr>
            <w:tcW w:w="1413" w:type="dxa"/>
            <w:tcBorders>
              <w:bottom w:val="single" w:sz="4" w:space="0" w:color="auto"/>
            </w:tcBorders>
          </w:tcPr>
          <w:p w14:paraId="40F323B6" w14:textId="77777777" w:rsidR="00D3717E" w:rsidRPr="00CE44F5" w:rsidRDefault="00D3717E" w:rsidP="00D3717E">
            <w:pPr>
              <w:ind w:left="306" w:hanging="306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4AADE6EA" w14:textId="77777777" w:rsidR="00D3717E" w:rsidRDefault="00D3717E" w:rsidP="007E7993"/>
        </w:tc>
        <w:tc>
          <w:tcPr>
            <w:tcW w:w="827" w:type="dxa"/>
            <w:tcBorders>
              <w:bottom w:val="single" w:sz="4" w:space="0" w:color="auto"/>
            </w:tcBorders>
          </w:tcPr>
          <w:p w14:paraId="0C808B22" w14:textId="77777777" w:rsidR="00D3717E" w:rsidRDefault="00D3717E" w:rsidP="007E7993"/>
        </w:tc>
        <w:tc>
          <w:tcPr>
            <w:tcW w:w="827" w:type="dxa"/>
            <w:tcBorders>
              <w:bottom w:val="single" w:sz="4" w:space="0" w:color="auto"/>
            </w:tcBorders>
          </w:tcPr>
          <w:p w14:paraId="3A664EF3" w14:textId="77777777" w:rsidR="00D3717E" w:rsidRDefault="00D3717E" w:rsidP="007E7993"/>
        </w:tc>
        <w:tc>
          <w:tcPr>
            <w:tcW w:w="844" w:type="dxa"/>
            <w:tcBorders>
              <w:bottom w:val="single" w:sz="4" w:space="0" w:color="auto"/>
            </w:tcBorders>
          </w:tcPr>
          <w:p w14:paraId="01EF9194" w14:textId="77777777" w:rsidR="00D3717E" w:rsidRDefault="00D3717E" w:rsidP="007E7993"/>
        </w:tc>
        <w:tc>
          <w:tcPr>
            <w:tcW w:w="775" w:type="dxa"/>
            <w:tcBorders>
              <w:bottom w:val="single" w:sz="4" w:space="0" w:color="auto"/>
            </w:tcBorders>
          </w:tcPr>
          <w:p w14:paraId="5EB09150" w14:textId="77777777" w:rsidR="00D3717E" w:rsidRDefault="00D3717E" w:rsidP="007E7993"/>
        </w:tc>
        <w:tc>
          <w:tcPr>
            <w:tcW w:w="838" w:type="dxa"/>
            <w:tcBorders>
              <w:bottom w:val="single" w:sz="4" w:space="0" w:color="auto"/>
            </w:tcBorders>
          </w:tcPr>
          <w:p w14:paraId="36C38CE5" w14:textId="77777777" w:rsidR="00D3717E" w:rsidRDefault="00D3717E" w:rsidP="007E7993"/>
        </w:tc>
        <w:tc>
          <w:tcPr>
            <w:tcW w:w="865" w:type="dxa"/>
            <w:tcBorders>
              <w:bottom w:val="single" w:sz="4" w:space="0" w:color="auto"/>
            </w:tcBorders>
          </w:tcPr>
          <w:p w14:paraId="07010E14" w14:textId="77777777" w:rsidR="00D3717E" w:rsidRDefault="00D3717E" w:rsidP="007E7993"/>
        </w:tc>
        <w:tc>
          <w:tcPr>
            <w:tcW w:w="845" w:type="dxa"/>
            <w:tcBorders>
              <w:bottom w:val="single" w:sz="4" w:space="0" w:color="auto"/>
            </w:tcBorders>
          </w:tcPr>
          <w:p w14:paraId="4E85C36C" w14:textId="77777777" w:rsidR="00D3717E" w:rsidRDefault="00D3717E" w:rsidP="007E7993"/>
        </w:tc>
        <w:tc>
          <w:tcPr>
            <w:tcW w:w="934" w:type="dxa"/>
            <w:tcBorders>
              <w:bottom w:val="single" w:sz="4" w:space="0" w:color="auto"/>
            </w:tcBorders>
          </w:tcPr>
          <w:p w14:paraId="7CA6DBE0" w14:textId="77777777" w:rsidR="00D3717E" w:rsidRDefault="00D3717E" w:rsidP="007E7993"/>
        </w:tc>
      </w:tr>
    </w:tbl>
    <w:p w14:paraId="560E5910" w14:textId="77777777" w:rsidR="007E7993" w:rsidRDefault="007E7993" w:rsidP="007E7993">
      <w:pPr>
        <w:spacing w:after="0" w:line="240" w:lineRule="auto"/>
      </w:pPr>
    </w:p>
    <w:p w14:paraId="7F7BA85B" w14:textId="504D7983" w:rsidR="008F221A" w:rsidRDefault="008F221A" w:rsidP="007E7993">
      <w:pPr>
        <w:spacing w:after="0" w:line="240" w:lineRule="auto"/>
      </w:pPr>
      <w:r>
        <w:t>I declare that I have no conflicts of interest in this assessment process and that the ranking shown above was performed by me.</w:t>
      </w:r>
    </w:p>
    <w:p w14:paraId="473B80EA" w14:textId="77777777" w:rsidR="00B1444E" w:rsidRDefault="00B1444E" w:rsidP="007E7993">
      <w:pPr>
        <w:spacing w:after="0" w:line="240" w:lineRule="auto"/>
      </w:pPr>
    </w:p>
    <w:p w14:paraId="45F69A54" w14:textId="77777777" w:rsidR="006F1229" w:rsidRDefault="006F1229" w:rsidP="007E7993">
      <w:pPr>
        <w:spacing w:after="0" w:line="240" w:lineRule="auto"/>
      </w:pPr>
    </w:p>
    <w:p w14:paraId="208B5851" w14:textId="77777777" w:rsidR="008C6A06" w:rsidRDefault="008C6A06" w:rsidP="007E7993">
      <w:pPr>
        <w:spacing w:after="0" w:line="240" w:lineRule="auto"/>
      </w:pPr>
    </w:p>
    <w:p w14:paraId="1CC7E010" w14:textId="77777777" w:rsidR="008F221A" w:rsidRDefault="007E7993" w:rsidP="007E7993">
      <w:pPr>
        <w:spacing w:after="0" w:line="240" w:lineRule="auto"/>
      </w:pPr>
      <w:r>
        <w:t xml:space="preserve">   </w:t>
      </w:r>
      <w:r w:rsidR="008F221A">
        <w:tab/>
      </w:r>
      <w:r>
        <w:tab/>
        <w:t xml:space="preserve">      </w:t>
      </w:r>
      <w:r w:rsidR="008F221A">
        <w:t xml:space="preserve">Signature: _____________________________________  Date: </w:t>
      </w:r>
      <w:r w:rsidR="008F221A">
        <w:softHyphen/>
      </w:r>
      <w:r w:rsidR="008F221A">
        <w:softHyphen/>
      </w:r>
      <w:r w:rsidR="008F221A">
        <w:softHyphen/>
      </w:r>
      <w:r w:rsidR="008F221A">
        <w:softHyphen/>
      </w:r>
      <w:r w:rsidR="008F221A">
        <w:softHyphen/>
      </w:r>
      <w:r w:rsidR="008F221A">
        <w:softHyphen/>
      </w:r>
      <w:r w:rsidR="008F221A">
        <w:softHyphen/>
      </w:r>
      <w:r w:rsidR="008F221A">
        <w:softHyphen/>
      </w:r>
      <w:r w:rsidR="008F221A">
        <w:softHyphen/>
      </w:r>
      <w:r w:rsidR="008F221A">
        <w:softHyphen/>
      </w:r>
      <w:r w:rsidR="008F221A">
        <w:softHyphen/>
      </w:r>
      <w:r w:rsidR="008F221A">
        <w:softHyphen/>
        <w:t>________</w:t>
      </w:r>
      <w:r>
        <w:t>____</w:t>
      </w:r>
    </w:p>
    <w:sectPr w:rsidR="008F221A" w:rsidSect="008C6A0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945"/>
    <w:multiLevelType w:val="multilevel"/>
    <w:tmpl w:val="9D1A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684FE4"/>
    <w:multiLevelType w:val="multilevel"/>
    <w:tmpl w:val="483A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455486"/>
    <w:multiLevelType w:val="hybridMultilevel"/>
    <w:tmpl w:val="E25A5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1138D"/>
    <w:multiLevelType w:val="multilevel"/>
    <w:tmpl w:val="6390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8D45D8"/>
    <w:multiLevelType w:val="multilevel"/>
    <w:tmpl w:val="7952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901E26"/>
    <w:multiLevelType w:val="multilevel"/>
    <w:tmpl w:val="AF30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7A6C36"/>
    <w:multiLevelType w:val="multilevel"/>
    <w:tmpl w:val="477A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812EFE"/>
    <w:multiLevelType w:val="multilevel"/>
    <w:tmpl w:val="07F8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E45933"/>
    <w:multiLevelType w:val="multilevel"/>
    <w:tmpl w:val="A5BA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D434EF"/>
    <w:multiLevelType w:val="multilevel"/>
    <w:tmpl w:val="E852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614F72"/>
    <w:multiLevelType w:val="hybridMultilevel"/>
    <w:tmpl w:val="1F72CAD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508773">
    <w:abstractNumId w:val="10"/>
  </w:num>
  <w:num w:numId="2" w16cid:durableId="1108089136">
    <w:abstractNumId w:val="5"/>
  </w:num>
  <w:num w:numId="3" w16cid:durableId="1418944801">
    <w:abstractNumId w:val="6"/>
  </w:num>
  <w:num w:numId="4" w16cid:durableId="393965447">
    <w:abstractNumId w:val="7"/>
  </w:num>
  <w:num w:numId="5" w16cid:durableId="978002362">
    <w:abstractNumId w:val="4"/>
  </w:num>
  <w:num w:numId="6" w16cid:durableId="701638901">
    <w:abstractNumId w:val="0"/>
  </w:num>
  <w:num w:numId="7" w16cid:durableId="333387427">
    <w:abstractNumId w:val="3"/>
  </w:num>
  <w:num w:numId="8" w16cid:durableId="336855653">
    <w:abstractNumId w:val="9"/>
  </w:num>
  <w:num w:numId="9" w16cid:durableId="163937032">
    <w:abstractNumId w:val="1"/>
  </w:num>
  <w:num w:numId="10" w16cid:durableId="39332483">
    <w:abstractNumId w:val="2"/>
  </w:num>
  <w:num w:numId="11" w16cid:durableId="2757945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8B"/>
    <w:rsid w:val="000047BD"/>
    <w:rsid w:val="0006214F"/>
    <w:rsid w:val="00076340"/>
    <w:rsid w:val="000A6019"/>
    <w:rsid w:val="00154416"/>
    <w:rsid w:val="00186E61"/>
    <w:rsid w:val="001C32EC"/>
    <w:rsid w:val="001F7487"/>
    <w:rsid w:val="00224F88"/>
    <w:rsid w:val="002F70C0"/>
    <w:rsid w:val="00361631"/>
    <w:rsid w:val="0047680D"/>
    <w:rsid w:val="00570CFE"/>
    <w:rsid w:val="005A3570"/>
    <w:rsid w:val="006354F3"/>
    <w:rsid w:val="006F1229"/>
    <w:rsid w:val="007613E8"/>
    <w:rsid w:val="00772662"/>
    <w:rsid w:val="007A153B"/>
    <w:rsid w:val="007E7993"/>
    <w:rsid w:val="008162AD"/>
    <w:rsid w:val="00893232"/>
    <w:rsid w:val="008C6A06"/>
    <w:rsid w:val="008F221A"/>
    <w:rsid w:val="00916E13"/>
    <w:rsid w:val="00924806"/>
    <w:rsid w:val="00930D37"/>
    <w:rsid w:val="00951795"/>
    <w:rsid w:val="009A24BE"/>
    <w:rsid w:val="009B3E61"/>
    <w:rsid w:val="009B705A"/>
    <w:rsid w:val="009E50D1"/>
    <w:rsid w:val="00A407F2"/>
    <w:rsid w:val="00A46D82"/>
    <w:rsid w:val="00B1444E"/>
    <w:rsid w:val="00B400C1"/>
    <w:rsid w:val="00B6741A"/>
    <w:rsid w:val="00B92854"/>
    <w:rsid w:val="00BD75F7"/>
    <w:rsid w:val="00C002D5"/>
    <w:rsid w:val="00C03222"/>
    <w:rsid w:val="00C34F1A"/>
    <w:rsid w:val="00CD5A8B"/>
    <w:rsid w:val="00CE44F5"/>
    <w:rsid w:val="00CE4A29"/>
    <w:rsid w:val="00CE5516"/>
    <w:rsid w:val="00D1449A"/>
    <w:rsid w:val="00D25B94"/>
    <w:rsid w:val="00D3717E"/>
    <w:rsid w:val="00EC719B"/>
    <w:rsid w:val="00EF5B25"/>
    <w:rsid w:val="00F209D1"/>
    <w:rsid w:val="00F27CB8"/>
    <w:rsid w:val="00F9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C4434"/>
  <w15:chartTrackingRefBased/>
  <w15:docId w15:val="{95EFA863-7BCC-4EBD-A55F-20D72E69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248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A8B"/>
    <w:pPr>
      <w:ind w:left="720"/>
      <w:contextualSpacing/>
    </w:pPr>
  </w:style>
  <w:style w:type="table" w:styleId="TableGrid">
    <w:name w:val="Table Grid"/>
    <w:basedOn w:val="TableNormal"/>
    <w:uiPriority w:val="39"/>
    <w:rsid w:val="00CD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924806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924806"/>
    <w:rPr>
      <w:b/>
      <w:bCs/>
    </w:rPr>
  </w:style>
  <w:style w:type="paragraph" w:customStyle="1" w:styleId="xmsolistparagraph">
    <w:name w:val="x_msolistparagraph"/>
    <w:basedOn w:val="Normal"/>
    <w:rsid w:val="00924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msonormal">
    <w:name w:val="x_msonormal"/>
    <w:basedOn w:val="Normal"/>
    <w:rsid w:val="00924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92480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A6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002D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634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76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3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3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3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dora.org/read/" TargetMode="External"/><Relationship Id="rId5" Type="http://schemas.openxmlformats.org/officeDocument/2006/relationships/hyperlink" Target="https://sfdora.org/re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Lardelli</dc:creator>
  <cp:keywords/>
  <dc:description/>
  <cp:lastModifiedBy>Michael Lardelli</cp:lastModifiedBy>
  <cp:revision>7</cp:revision>
  <dcterms:created xsi:type="dcterms:W3CDTF">2022-07-05T06:01:00Z</dcterms:created>
  <dcterms:modified xsi:type="dcterms:W3CDTF">2024-04-17T05:13:00Z</dcterms:modified>
</cp:coreProperties>
</file>